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86000061035156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860000610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DOT. PRZETWARZANIA DANYCH OSOBOWYCH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.339950561523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(OBOWIĄZEK INFORMACYJNY)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.339950561523438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PODSTAWOWA DZIAŁALNOŚĆ ADMINISTRATORA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.339950561523438" w:right="0" w:firstLine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.339950561523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ADMINISTRATOR DANYCH OSOBOWYCH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administratorem danych osobowych, dalej “Administrator” jest Informatics Sp. z o.o., adres siedziby: ul. Fryderyka Chopina 94 budynek B, 43-600 Jaworzno, tel.: +48327007062, strona internetowa: https://informatics.jaworzno.pl, e-mail: biuro@informatics.jaworzno.pl, NIP: 6322023636, REGON: 383782230, KRS: 0000793141.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INSPEKTOR OCHRONY DANYCH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We wszelkich sprawach związanych z przetwarzaniem danych osobowych przez Administratora Danych można uzyskać informację, kontaktując się z Inspektorem Ochrony Danych – Panią Sylwią Zabder, w następujących formach: za pośrednictwem poczty elektronicznej, przesyłając informację na adres e-mail: sylwia@informtics.jaworzno.pl lub listownie i osobiście pod adresem siedziby Administratora lub telefonicznie pod numerem: 668413340.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CEL PRZETWARZANIA DANYCH OSOBOWYCH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Dane osobowe będą przetwarzane w celu realizacji działalności Administratora, a w szczególności: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optymalizacji funkcjonowania Spółki oraz prowadzenia i rozwoju jej działalności;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zawarcia umowy i realizacji jej przedmiotu;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rekrutacji pracowników;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wykonania ciążących na Administratorze obowiązków prawnych (np. wystawienia i przechowywania faktur oraz innych dokumentów księgowych, udostępniania danych tzw. uprawnionym podmiotom w tym do sądu lub prokuratury);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dochodzenia ewentualnych roszczeń z tytułu niewykonania lub nienależytego wykonania usługi/przedmiotu umowy;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korespondencji;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marketingu bezpośredniego.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PODSTAWA PRAWNA PRZETWARZANIA DANYCH OSOBOWYCH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Podstawa prawna przetwarzania danych w zakresie działań stanowiących główny cel Administratora wynika w szczególności z następujących przepisów prawa: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6 ust. 1 lit. 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RODO</w:t>
      </w:r>
      <w:r w:rsidDel="00000000" w:rsidR="00000000" w:rsidRPr="00000000">
        <w:rPr>
          <w:rtl w:val="0"/>
        </w:rPr>
        <w:t xml:space="preserve"> (osoba, której dane dotyczą wyraziła zgodę),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6 ust. 1 lit. b) RODO</w:t>
      </w:r>
      <w:r w:rsidDel="00000000" w:rsidR="00000000" w:rsidRPr="00000000">
        <w:rPr>
          <w:rtl w:val="0"/>
        </w:rPr>
        <w:t xml:space="preserve"> (przetwarzanie jest niezbędne do wykonania umowy), 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6 ust. 1 lit. f)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RODO</w:t>
      </w:r>
      <w:r w:rsidDel="00000000" w:rsidR="00000000" w:rsidRPr="00000000">
        <w:rPr>
          <w:rtl w:val="0"/>
        </w:rPr>
        <w:t xml:space="preserve"> (przetwarzanie jest niezbędne do celów wynikających z prawnie uzasadnionych interesów realizowanych przez administratora), 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6 ust. 1 lit. c)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RODO</w:t>
      </w:r>
      <w:r w:rsidDel="00000000" w:rsidR="00000000" w:rsidRPr="00000000">
        <w:rPr>
          <w:rtl w:val="0"/>
        </w:rPr>
        <w:t xml:space="preserve"> (przetwarzanie jest niezbędne do wypełnienia obowiązku prawnego ciążącego na administratorze) </w:t>
      </w:r>
      <w:r w:rsidDel="00000000" w:rsidR="00000000" w:rsidRPr="00000000">
        <w:rPr>
          <w:b w:val="1"/>
          <w:rtl w:val="0"/>
        </w:rPr>
        <w:t xml:space="preserve">w związku z przepisami prawa,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ustawą z dnia 15 września 2000 r. Kodeks spółek handlowych i jej aktami wykonawczymi;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ustawą z dnia 26 czerwca 1974 r. Kodeks pracy i jej aktami wykonawczymi;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ustawą z dnia 23 kwietnia 1964 r. Kodeks cywilny i jej aktami wykonawczymi;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ustawą z dnia 29 września 1994 r. o rachunkowości i jej aktami wykonawczymi;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oraz innymi.  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Jeśli dane osobowe nie zostały pozyskane przez Administratora bezpośrednio od właściciela danych, to dane osobowe w zakresie m.in.: dane identyfikacyjne (imię i nazwisko), dane kontaktowe (numer telefonu, adres, adres poczty elektronicznej), dane inne (np. stanowisko, miejsce zatrudnienia) mogły zostać pozyskane przez Administratora z umowy, formularza kontaktowego lub w inny sposób zostały udostępnione Administratorowi przez Stronę umowy lub współpracownika, kontrahenta itp.</w:t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OKRES PRZECHOWYWANIA DANYCH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Dane osobowe będą przechowywane albo przez okres zgodny z odpowiednimi przepisami prawa dot. postępowania z dokumentacją, zasad jej klasyfikowania i kwalifikowania albo do momentu wycofania zgody przez osobę, której dane dotyczą, jeśli dane są przetwarzane w oparciu o wyrażoną zgodę albo przez okres trwania umowy i po zakończeniu trwania takiej umowy w celu pełnego rozliczenia się stron z warunków umowy, w tym do czasu upływu terminu przedawnienia się roszczeń z takiej umowy (w zależności od rodzaju umowy – zgodnie z ustawą z dnia 23 kwietnia 1964 r. Kodeks cywilny.), a w zakresie rozliczeń z urzędem skarbowym przez okres przedawnienia zobowiązań podatkowych, tj. 5 lat od końca roku podatkowego, w którym pojawiła się konieczność zapłaty podatku.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ODBIORCY DANYCH</w:t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Dostęp do danych będą miały osoby pracujące i współpracujące z Administratorem w zakresie prowadzonej działalności, m.in: Synapsa IT Sp. z .o.o., ul. Fryderyka Chopina 94/B, 43-600 Jaworzno, NIP: 6322014241, REGON: 363313025 świadcząca usługi informatyczne dla Administratora oraz inne podmioty realizujące usługi na rzecz Administratora, np. podmioty realizujące usługi prawno-finansowe – każdorazowo będą zawierane wówczas umowy powierzenia. Dane w przypadkach ściśle określonych przepisami prawa mogą zostać ujawnione poprzez przesłanie uprawnionym podmiotom.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PRZEKAZYWANIE DANYCH OSOBOWYCH POZA OBSZAR EOG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Administrator nie zamierza przekazywać Państwa danych poza obszar Europejskiego Obszaru Gospodarczego (tj. obszar obejmujący kraje Unii Europejskiej, Norwegię, Liechtenstein i Islandię) z zastrzeżeniem ponadnarodowego charakteru przepływu danych w ramach Google LLC z zastosowaniem stosowanych przez ww. podmiot klauzul umownych zatwierdzonych przez Komisję Europejską i decyzji Komisji Europejskiej stwierdzających odpowiedni stopień ochrony danych w odniesieniu do określonych krajów.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PRAWA OSOBY, KTÓREJ DANE DOTYCZĄ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Informujemy, że każdemu właścicielowi danych przysługują następujące prawa dotyczące danych osobowych: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dostępu do danych osobowych, tj. uzyskania informacji, czy Administrator przetwarza dane, a jeśli tak, to w jakim zakresie,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sprostowania danych osobowych, w przypadku, gdy zdaniem właściciela danych są one nieprawidłowe lub niekompletne,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ograniczenia przetwarzania danych, tj. nakazania przechowywania danych dotychczas zebranych przez Administratora i wstrzymania dalszych operacji na danych,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usunięcia danych,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przeniesienia danych osobowych, tj. przesłania danych innemu administratorowi danych lub przesłania ich do właściciela danych,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prawo do cofnięcia zgody w dowolnym momencie, gdy przetwarzanie danych odbywa się, w oparciu o wyrażoną zgodę – z zastrzeżeniem, że wycofanie tej zgody nie wpływa na zgodność z prawem przetwarzania, którego dokonano na podstawie zgody przed jej cofnięciem,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wniesienia sprzeciwu wobec przetwarzania danych na potrzeby marketingu bezpośredniego oraz z przyczyn związanych ze szczególną sytuacją właściciela danych,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cofnięcia zgody w dowolnym momencie bez wpływu na zgodność z prawem przetwarzania, którego dokonano na podstawie zgody przed jej cofnięciem,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 celu realizacji wymienionych powyżej praw należy złożyć pisemny wniosek z wybranym żądaniem,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każdy właściciel danych ma również prawo wniesienia skargi do organu nadzorczego – Prezesa Urzędu Ochrony Danych Osobowych w przypadku, gdy jego zdaniem przetwarzanie danych osobowych przez Administratora odbywa się z naruszeniem prawa pod adresem: ul. Stawki 2, 00-193 Warszawa.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INFORMACJA O ZAUTOMATYZOWANYM PODEJMOWANIU DECYZJI</w:t>
      </w:r>
    </w:p>
    <w:p w:rsidR="00000000" w:rsidDel="00000000" w:rsidP="00000000" w:rsidRDefault="00000000" w:rsidRPr="00000000" w14:paraId="0000003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Dane nie będą przetwarzane w sposób zautomatyzowany, w tym również profilowane, co oznacza, że żadne decyzje wywołujące skutki prawne lub w podobny sposób istotnie wpływające na właściciela danych nie będą oparte wyłącznie na automatycznym przetwarzaniu danych osobowych i nie wiążą się z taką automatycznie podejmowaną decyzją.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.55999755859375" w:right="19.775390625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575.91796875" w:top="1417.3228346456694" w:left="1417.3228346456694" w:right="1287.40157480315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/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900000</wp:posOffset>
          </wp:positionH>
          <wp:positionV relativeFrom="page">
            <wp:posOffset>331375</wp:posOffset>
          </wp:positionV>
          <wp:extent cx="334328" cy="312524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4328" cy="3125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shd w:fill="ffffff" w:val="clear"/>
      <w:spacing w:line="240" w:lineRule="auto"/>
      <w:jc w:val="right"/>
      <w:rPr/>
    </w:pPr>
    <w:r w:rsidDel="00000000" w:rsidR="00000000" w:rsidRPr="00000000">
      <w:rPr>
        <w:color w:val="666666"/>
        <w:sz w:val="16"/>
        <w:szCs w:val="16"/>
        <w:rtl w:val="0"/>
      </w:rPr>
      <w:t xml:space="preserve">Informatics sp. z o.o., Ul. Fryderyka Chopina 94 budynek B, 43-600 Jaworzno, e-mail: biuro@informatics.jaworzno.pl 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z7Ur9l+oA8Q7JCdUbvKzw4/LQ==">CgMxLjA4AHIhMU1zd245Y1RzbGJFZ2dUWFpjX0QyeDdaeDByaDROOWE3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